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Ylaotsikko"/>
      </w:pPr>
      <w:r>
        <w:t xml:space="preserve">Palovaroittimet</w:t>
      </w:r>
    </w:p>
    <w:p>
      <w:pPr>
        <w:pStyle w:val="Title"/>
      </w:pPr>
      <w:r>
        <w:t xml:space="preserve">Palovaroittimien kunnossapitosuunnitelma</w:t>
      </w:r>
    </w:p>
    <w:p>
      <w:pPr>
        <w:pStyle w:val="Ohje"/>
      </w:pPr>
      <w:r>
        <w:rPr>
          <w:b/>
        </w:rPr>
        <w:t xml:space="preserve">Näin täytätte: </w:t>
      </w:r>
      <w:r>
        <w:t xml:space="preserve">kirjoittakaa taloyhtiön omat tiedot harmaiden esimerkkien tilalle. Ohjetekstit (pienellä) voi poistaa, kun suunnitelma on valmis. Hyväksykää suunnitelma hallituksen kokouksessa ja liittäkää se pöytäkirjaan.</w:t>
      </w:r>
    </w:p>
    <w:p>
      <w:pPr>
        <w:pStyle w:val="Ohje"/>
      </w:pPr>
      <w:r>
        <w:t xml:space="preserve">Laki ei vaadi kirjallista suunnitelmaa. Taloyhtiön on kuitenkin pidettävä asuntojen palovaroittimet toimintakunnossa (pelastuslaki 379/2011, 17 §, muutettu lailla 436/2023). SPEK ja Isännöintiliitto neuvovat tekemään suunnitelman. Malli ei ole oikeudellinen neuvo.</w:t>
      </w:r>
    </w:p>
    <w:p>
      <w:pPr>
        <w:pStyle w:val="Heading1"/>
      </w:pPr>
      <w:r>
        <w:t xml:space="preserve">1. Kohde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Taloyhtiö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As Oy Esimerkki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Osoite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Esimerkkitie 1, 00100 Helsinki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Rakennukset ja asunnot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2 rakennusta, 36 asuntoa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Kirjatkaa, mitä rakennuksia ja asuntoja suunnitelma koskee.</w:t>
      </w:r>
    </w:p>
    <w:p>
      <w:pPr>
        <w:pStyle w:val="Heading1"/>
      </w:pPr>
      <w:r>
        <w:t xml:space="preserve">2. Vastuuhenkilöt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Hallituksen vastuuhenkilö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nimi ja puhelin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Isännöitsijä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nimi ja yritys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Huolto tai asentaja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yritys ja yhteystieto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Käytännön työt voi antaa huoltoyhtiölle tai asentajalle, mutta vastuu pysyy taloyhtiöllä (SPEK).</w:t>
      </w:r>
    </w:p>
    <w:p>
      <w:pPr>
        <w:pStyle w:val="Heading1"/>
      </w:pPr>
      <w:r>
        <w:t xml:space="preserve">3. Varoittimet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Tyyppi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paristo, 10 vuoden paristo tai verkkovirta ja varaparisto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Määrä yhteensä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72 kpl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Määrä tarkistettu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päivämäärä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Huoneistokohtaiset tiedot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Excel-rekisteri isännöitsijällä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Vähimmäismäärä on yksi varoitin jokaisen kerroksen tai tason alkavaa 60 m² kohden (asetus 300/2025). Huoneistokohtaiset tiedot kannattaa pitää rekisterissä.</w:t>
      </w:r>
      <w:r>
        <w:t xml:space="preserve"> </w:t>
      </w:r>
      <w:hyperlink r:id="rId10" w:history="1">
        <w:r>
          <w:rPr>
            <w:rStyle w:val="Linkki"/>
          </w:rPr>
          <w:t xml:space="preserve">Montako-laskuri: alarmi.fi/montako-palovaroitinta</w:t>
        </w:r>
      </w:hyperlink>
      <w:r>
        <w:t xml:space="preserve"> </w:t>
      </w:r>
      <w:hyperlink r:id="rId11" w:history="1">
        <w:r>
          <w:rPr>
            <w:rStyle w:val="Linkki"/>
          </w:rPr>
          <w:t xml:space="preserve">Ilmainen Excel-rekisteri: alarmi.fi/palovaroitinrekisteri</w:t>
        </w:r>
      </w:hyperlink>
    </w:p>
    <w:p>
      <w:pPr>
        <w:pStyle w:val="Heading1"/>
      </w:pPr>
      <w:r>
        <w:t xml:space="preserve">4. Testaus ja tarkastus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Asukkaat testaavat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kerran kuukaudessa testinapista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Taloyhtiö tarkastaa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kerran vuodessa marraskuussa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Tapa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asukkaan kuittaus, huollon kierros tai asentaja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Laki ei määrää testaus- eikä tarkastusväliä. Sisäministeriön ohjeen mukaan asukkaan on hyvä testata varoitin säännöllisesti, esimerkiksi kerran kuukaudessa. Isännöintiliiton näkemys on, että vuosittainen tarkastus riittää.</w:t>
      </w:r>
      <w:r>
        <w:t xml:space="preserve"> </w:t>
      </w:r>
      <w:hyperlink r:id="rId12" w:history="1">
        <w:r>
          <w:rPr>
            <w:rStyle w:val="Linkki"/>
          </w:rPr>
          <w:t xml:space="preserve">Näin tarkastuksen voi järjestää: alarmi.fi/artikkelit/palovaroittimien-tarkastus-taloyhtiossa</w:t>
        </w:r>
      </w:hyperlink>
    </w:p>
    <w:p>
      <w:pPr>
        <w:pStyle w:val="Heading1"/>
      </w:pPr>
      <w:r>
        <w:t xml:space="preserve">5. Paristot ja uusiminen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Paristojen vaihto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kaikki kerralla syksyllä tai valmistajan ohjeen mukaan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Varoittimien uusiminen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vuonna 2035 tai valmistajan ohjeen mukaan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Varaparistot ja -varoittimet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huoltoyhtiön varasto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Sisäministeriön mukaan paristot kannattaa vaihtaa säännöllisesti ja varoittimet uusia suunnitellusti; käyttöikä on yleensä enintään 10 vuotta. SPEK neuvoo pitämään paristoja ja varoittimia varalla.</w:t>
      </w:r>
    </w:p>
    <w:p>
      <w:pPr>
        <w:pStyle w:val="Heading1"/>
      </w:pPr>
      <w:r>
        <w:t xml:space="preserve">6. Vikailmoitukset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Asukas ilmoittaa viasta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nimi, sähköposti ja puhelin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Kuka korjaa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huolto vaihtaa pariston tai varoittimen viipymättä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Miten asukkaille kerrotaan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tiedote porraskäytävään ja sähköposti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Asukkaan on ilmoitettava viasta viipymättä (pelastuslaki 17 § 2 mom.). Sisäministeriön mukaan korjaavat toimet on tehtävä viipymättä, kun paristo loppuu tai varoitin vikaantuu.</w:t>
      </w:r>
      <w:r>
        <w:t xml:space="preserve"> </w:t>
      </w:r>
      <w:hyperlink r:id="rId13" w:history="1">
        <w:r>
          <w:rPr>
            <w:rStyle w:val="Linkki"/>
          </w:rPr>
          <w:t xml:space="preserve">Valmis asukastiedote: alarmi.fi/asukastiedote</w:t>
        </w:r>
      </w:hyperlink>
    </w:p>
    <w:p>
      <w:pPr>
        <w:pStyle w:val="Heading1"/>
      </w:pPr>
      <w:r>
        <w:t xml:space="preserve">7. Kirjaaminen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Mitä kirjataan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testaukset, viat, paristojen vaihdot ja uusimiset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Mihin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Excel-rekisteri tai huoltokirja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Kuka päivittää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nimi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Laki ei vaadi kirjanpitoa. Sisäministeriön ohjeen mukaan tehdyt toimenpiteet on hyvä dokumentoida, esimerkiksi rakennuksen käyttö- ja huolto-ohjeeseen.</w:t>
      </w:r>
      <w:r>
        <w:t xml:space="preserve"> </w:t>
      </w:r>
      <w:hyperlink r:id="rId14" w:history="1">
        <w:r>
          <w:rPr>
            <w:rStyle w:val="Linkki"/>
          </w:rPr>
          <w:t xml:space="preserve">Ilmainen Excel-rekisteri: alarmi.fi/palovaroitinrekisteri</w:t>
        </w:r>
      </w:hyperlink>
    </w:p>
    <w:p>
      <w:pPr>
        <w:pStyle w:val="Heading1"/>
      </w:pPr>
      <w:r>
        <w:t xml:space="preserve">8. Poikkeamat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Jos huoneistosta ei vastata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muistutus, paperitiedote ja sitten käynti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Käynnistä ilmoitetaan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kirjallisesti viikkoa ennen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Jos varoitin on irrotettu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tilalle uusi varoitin ja keskustelu asukkaan kanssa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Taloyhtiöllä on oikeus päästä huoneistoon, kun se on välttämätöntä. Käynti järjestetään asukkaalle sopivana aikana kohtuullisen ajan kuluessa, ellei työ ole kiireellinen (pelastuslaki 17 § 4 mom.). SPEKin mukaan käynnistä on hyvä ilmoittaa yleensä vähintään viikkoa ennen.</w:t>
      </w:r>
    </w:p>
    <w:p>
      <w:pPr>
        <w:pStyle w:val="Heading1"/>
      </w:pPr>
      <w:r>
        <w:t xml:space="preserve">9. Hyväksyntä ja päivitys</w:t>
      </w:r>
    </w:p>
    <w:tbl>
      <w:tblPr>
        <w:tblStyle w:val="Lomake"/>
        <w:tblW w:w="9638" w:type="dxa"/>
        <w:tblLayout w:type="fixed"/>
        <w:tblLook w:val="0000" w:firstRow="0" w:lastRow="0" w:firstColumn="0" w:lastColumn="0" w:noHBand="1" w:noVBand="1"/>
      </w:tblPr>
      <w:tblGrid>
        <w:gridCol w:w="3500"/>
        <w:gridCol w:w="6138"/>
      </w:tblGrid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Hyväksytty hallituksen kokouksessa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päivämäärä ja pykälä</w:t>
            </w:r>
          </w:p>
        </w:tc>
      </w:tr>
      <w:tr>
        <w:trPr>
          <w:cantSplit/>
          <w:trHeight w:val="440"/>
        </w:trPr>
        <w:tc>
          <w:tcPr>
            <w:tcW w:w="3500" w:type="dxa"/>
            <w:shd w:val="clear" w:color="auto" w:fill="F2F4F3"/>
            <w:vAlign w:val="center"/>
          </w:tcPr>
          <w:p>
            <w:pPr>
              <w:pStyle w:val="Taulukko"/>
            </w:pPr>
            <w:r>
              <w:rPr>
                <w:b/>
              </w:rPr>
              <w:t xml:space="preserve">Seuraava läpikäynti</w:t>
            </w:r>
          </w:p>
        </w:tc>
        <w:tc>
          <w:tcPr>
            <w:tcW w:w="6138" w:type="dxa"/>
            <w:vAlign w:val="center"/>
          </w:tcPr>
          <w:p>
            <w:pPr>
              <w:pStyle w:val="Taulukko"/>
            </w:pPr>
            <w:r>
              <w:rPr>
                <w:rStyle w:val="Esimerkki"/>
              </w:rPr>
              <w:t xml:space="preserve">esim. vuoden kuluttua</w:t>
            </w:r>
          </w:p>
        </w:tc>
      </w:tr>
    </w:tbl>
    <w:p>
      <w:pPr>
        <w:pStyle w:val="Ohje"/>
      </w:pPr>
      <w:r>
        <w:rPr>
          <w:b/>
        </w:rPr>
        <w:t xml:space="preserve">Ohje: </w:t>
      </w:r>
      <w:r>
        <w:t xml:space="preserve">Suunnitelma kannattaa käydä läpi kerran vuodessa ja aina, kun vastuuhenkilö, huoltoyhtiö tai varoitintyyppi vaihtuu.</w:t>
      </w:r>
    </w:p>
    <w:p>
      <w:pPr>
        <w:pStyle w:val="Heading1"/>
      </w:pPr>
      <w:r>
        <w:t xml:space="preserve">Hallituksen pöytäkirjamerkintä (malli)</w:t>
      </w:r>
    </w:p>
    <w:p>
      <w:pPr>
        <w:pStyle w:val="Ohje"/>
      </w:pPr>
      <w:r>
        <w:t xml:space="preserve">Kun hallitus hyväksyy suunnitelman, sen voi kirjata pöytäkirjaan esimerkiksi näin. Teksti kirjaa vain päätöksen; se ei ole oikeudellinen neuvo.</w:t>
      </w:r>
    </w:p>
    <w:p>
      <w:pPr>
        <w:pStyle w:val="Poytakirja"/>
      </w:pPr>
      <w:r>
        <w:rPr>
          <w:b/>
        </w:rPr>
        <w:t xml:space="preserve">§ [nro] Palovaroittimien kunnossapitosuunnitelma</w:t>
      </w:r>
    </w:p>
    <w:p>
      <w:pPr>
        <w:pStyle w:val="Poytakirja"/>
      </w:pPr>
      <w:r>
        <w:t xml:space="preserve">Käsiteltiin taloyhtiön palovaroittimien kunnossapitosuunnitelma (liite [nro]).</w:t>
      </w:r>
    </w:p>
    <w:p>
      <w:pPr>
        <w:pStyle w:val="Poytakirja"/>
      </w:pPr>
      <w:r>
        <w:t xml:space="preserve">Päätös: Hallitus hyväksyi suunnitelman. Palovaroitinasioiden vastuuhenkilöksi nimettiin [nimi]. Suunnitelmasta tiedotetaan asukkaille [tapa ja aika]. Suunnitelma käydään läpi seuraavan kerran [ajankohta].</w:t>
      </w:r>
    </w:p>
    <w:p>
      <w:pPr>
        <w:pStyle w:val="Heading1"/>
      </w:pPr>
      <w:r>
        <w:t xml:space="preserve">Lähteet</w:t>
      </w:r>
    </w:p>
    <w:p>
      <w:pPr>
        <w:pStyle w:val="Lahde"/>
      </w:pPr>
      <w:hyperlink r:id="rId15" w:history="1">
        <w:r>
          <w:rPr>
            <w:rStyle w:val="Linkki"/>
          </w:rPr>
          <w:t xml:space="preserve">Pelastuslaki 379/2011, 17 § (Finlex)</w:t>
        </w:r>
      </w:hyperlink>
      <w:r>
        <w:t xml:space="preserve"> (tarkistettu 12.10.2026)</w:t>
      </w:r>
    </w:p>
    <w:p>
      <w:pPr>
        <w:pStyle w:val="Lahde"/>
      </w:pPr>
      <w:hyperlink r:id="rId16" w:history="1">
        <w:r>
          <w:rPr>
            <w:rStyle w:val="Linkki"/>
          </w:rPr>
          <w:t xml:space="preserve">Sisäministeriön asetus palovaroittimista 300/2025 (Finlex)</w:t>
        </w:r>
      </w:hyperlink>
      <w:r>
        <w:t xml:space="preserve"> (tarkistettu 12.10.2026)</w:t>
      </w:r>
    </w:p>
    <w:p>
      <w:pPr>
        <w:pStyle w:val="Lahde"/>
      </w:pPr>
      <w:hyperlink r:id="rId17" w:history="1">
        <w:r>
          <w:rPr>
            <w:rStyle w:val="Linkki"/>
          </w:rPr>
          <w:t xml:space="preserve">Sisäministeriö: Usein kysytyt kysymykset palovaroittimista</w:t>
        </w:r>
      </w:hyperlink>
      <w:r>
        <w:t xml:space="preserve"> (tarkistettu 12.10.2026)</w:t>
      </w:r>
    </w:p>
    <w:p>
      <w:pPr>
        <w:pStyle w:val="Lahde"/>
      </w:pPr>
      <w:hyperlink r:id="rId18" w:history="1">
        <w:r>
          <w:rPr>
            <w:rStyle w:val="Linkki"/>
          </w:rPr>
          <w:t xml:space="preserve">SPEK: Taloyhtiön vastuu – kysymyksiä ja vastauksia</w:t>
        </w:r>
      </w:hyperlink>
      <w:r>
        <w:t xml:space="preserve"> (tarkistettu 12.10.2026)</w:t>
      </w:r>
    </w:p>
    <w:p>
      <w:pPr>
        <w:pStyle w:val="Lahde"/>
      </w:pPr>
      <w:hyperlink r:id="rId19" w:history="1">
        <w:r>
          <w:rPr>
            <w:rStyle w:val="Linkki"/>
          </w:rPr>
          <w:t xml:space="preserve">Isännöintiliitto: Miten usein taloyhtiön tulee tarkastaa palovaroittimet? (8.5.2025)</w:t>
        </w:r>
      </w:hyperlink>
      <w:r>
        <w:t xml:space="preserve"> (tarkistettu 12.10.2026)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Alatunniste"/>
      <w:tabs>
        <w:tab w:val="right" w:pos="9638"/>
      </w:tabs>
    </w:pPr>
    <w:r>
      <w:t xml:space="preserve">Malli: Joel Lausamo / alarmi.fi, vapaasti käytettävissä · Versio 1.0 · lokakuu 2026</w:t>
    </w:r>
    <w:r>
      <w:tab/>
    </w:r>
    <w:fldSimple w:instr=" PAGE ">
      <w:r>
        <w:t>1</w:t>
      </w:r>
    </w:fldSimple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i-FI" w:eastAsia="fi-FI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pBdr>
        <w:bottom w:val="single" w:sz="18" w:space="6" w:color="1E1E1E"/>
      </w:pBdr>
      <w:spacing w:after="240"/>
    </w:pPr>
    <w:rPr>
      <w:b/>
      <w:color w:val="1E1E1E"/>
      <w:sz w:val="44"/>
      <w:szCs w:val="44"/>
    </w:rPr>
  </w:style>
  <w:style w:type="paragraph" w:customStyle="1" w:styleId="Ylaotsikko">
    <w:name w:val="Yläotsikko"/>
    <w:basedOn w:val="Normal"/>
    <w:next w:val="Title"/>
    <w:pPr>
      <w:spacing w:after="40"/>
    </w:pPr>
    <w:rPr>
      <w:b/>
      <w:caps/>
      <w:color w:val="00796B"/>
      <w:spacing w:val="20"/>
      <w:sz w:val="18"/>
      <w:szCs w:val="18"/>
    </w:rPr>
  </w:style>
  <w:style w:type="paragraph" w:styleId="Heading1">
    <w:name w:val="heading 1"/>
    <w:basedOn w:val="Normal"/>
    <w:next w:val="Normal"/>
    <w:qFormat/>
    <w:pPr>
      <w:keepNext/>
      <w:keepLines/>
      <w:spacing w:before="320" w:after="120"/>
      <w:outlineLvl w:val="0"/>
    </w:pPr>
    <w:rPr>
      <w:b/>
      <w:color w:val="1E1E1E"/>
      <w:sz w:val="28"/>
      <w:szCs w:val="28"/>
    </w:rPr>
  </w:style>
  <w:style w:type="paragraph" w:customStyle="1" w:styleId="Ohje">
    <w:name w:val="Ohje"/>
    <w:basedOn w:val="Normal"/>
    <w:pPr>
      <w:spacing w:before="80" w:after="120"/>
    </w:pPr>
    <w:rPr>
      <w:color w:val="5F6672"/>
      <w:sz w:val="18"/>
      <w:szCs w:val="18"/>
    </w:rPr>
  </w:style>
  <w:style w:type="paragraph" w:customStyle="1" w:styleId="Taulukko">
    <w:name w:val="Taulukon teksti"/>
    <w:basedOn w:val="Normal"/>
    <w:pPr>
      <w:spacing w:before="40" w:after="40"/>
    </w:pPr>
  </w:style>
  <w:style w:type="paragraph" w:customStyle="1" w:styleId="Poytakirja">
    <w:name w:val="Pöytäkirjateksti"/>
    <w:basedOn w:val="Normal"/>
    <w:pPr>
      <w:spacing w:after="120"/>
      <w:ind w:left="284"/>
    </w:pPr>
  </w:style>
  <w:style w:type="paragraph" w:customStyle="1" w:styleId="Lahde">
    <w:name w:val="Lähde"/>
    <w:basedOn w:val="Normal"/>
    <w:pPr>
      <w:spacing w:after="60"/>
    </w:pPr>
    <w:rPr>
      <w:sz w:val="18"/>
      <w:szCs w:val="18"/>
    </w:rPr>
  </w:style>
  <w:style w:type="paragraph" w:customStyle="1" w:styleId="Alatunniste">
    <w:name w:val="Alatunniste"/>
    <w:basedOn w:val="Normal"/>
    <w:pPr>
      <w:spacing w:after="0"/>
    </w:pPr>
    <w:rPr>
      <w:color w:val="5F6672"/>
      <w:sz w:val="16"/>
      <w:szCs w:val="16"/>
    </w:rPr>
  </w:style>
  <w:style w:type="character" w:customStyle="1" w:styleId="Esimerkki">
    <w:name w:val="Esimerkki"/>
    <w:rPr>
      <w:i/>
      <w:color w:val="8A8A8A"/>
    </w:rPr>
  </w:style>
  <w:style w:type="character" w:customStyle="1" w:styleId="Linkki">
    <w:name w:val="Linkki"/>
    <w:rPr>
      <w:color w:val="00796B"/>
      <w:u w:val="single"/>
    </w:rPr>
  </w:style>
  <w:style w:type="table" w:customStyle="1" w:styleId="Lomake">
    <w:name w:val="Lomake"/>
    <w:tblPr>
      <w:tblBorders>
        <w:top w:val="single" w:sz="4" w:space="0" w:color="B8B5AD"/>
        <w:left w:val="single" w:sz="4" w:space="0" w:color="B8B5AD"/>
        <w:bottom w:val="single" w:sz="4" w:space="0" w:color="B8B5AD"/>
        <w:right w:val="single" w:sz="4" w:space="0" w:color="B8B5AD"/>
        <w:insideH w:val="single" w:sz="4" w:space="0" w:color="B8B5AD"/>
        <w:insideV w:val="single" w:sz="4" w:space="0" w:color="B8B5AD"/>
      </w:tblBorders>
      <w:tblCellMar>
        <w:top w:w="60" w:type="dxa"/>
        <w:left w:w="120" w:type="dxa"/>
        <w:bottom w:w="60" w:type="dxa"/>
        <w:right w:w="12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Relationship Id="rId10" Type="http://schemas.openxmlformats.org/officeDocument/2006/relationships/hyperlink" Target="https://alarmi.fi/montako-palovaroitinta" TargetMode="External"/><Relationship Id="rId11" Type="http://schemas.openxmlformats.org/officeDocument/2006/relationships/hyperlink" Target="https://alarmi.fi/palovaroitinrekisteri" TargetMode="External"/><Relationship Id="rId12" Type="http://schemas.openxmlformats.org/officeDocument/2006/relationships/hyperlink" Target="https://alarmi.fi/artikkelit/palovaroittimien-tarkastus-taloyhtiossa" TargetMode="External"/><Relationship Id="rId13" Type="http://schemas.openxmlformats.org/officeDocument/2006/relationships/hyperlink" Target="https://alarmi.fi/asukastiedote" TargetMode="External"/><Relationship Id="rId14" Type="http://schemas.openxmlformats.org/officeDocument/2006/relationships/hyperlink" Target="https://alarmi.fi/palovaroitinrekisteri" TargetMode="External"/><Relationship Id="rId15" Type="http://schemas.openxmlformats.org/officeDocument/2006/relationships/hyperlink" Target="https://www.finlex.fi/fi/lainsaadanto/2011/379" TargetMode="External"/><Relationship Id="rId16" Type="http://schemas.openxmlformats.org/officeDocument/2006/relationships/hyperlink" Target="https://www.finlex.fi/fi/lainsaadanto/saadoskokoelma/2025/300" TargetMode="External"/><Relationship Id="rId17" Type="http://schemas.openxmlformats.org/officeDocument/2006/relationships/hyperlink" Target="https://intermin.fi/pelastustoimi/onnettomuuksien-ehkaisy/paloturvallisuuslaitteet/ukk" TargetMode="External"/><Relationship Id="rId18" Type="http://schemas.openxmlformats.org/officeDocument/2006/relationships/hyperlink" Target="https://www.spek.fi/turvallisuus/paloturvallinen-taloyhtio/taloyhtion-vastuu/" TargetMode="External"/><Relationship Id="rId19" Type="http://schemas.openxmlformats.org/officeDocument/2006/relationships/hyperlink" Target="https://www.isannointiliitto.fi/miten-usein-taloyhtion-tulee-uusien-vastuiden-myota-tarkastaa-palovaroittimet/" TargetMode="External"/></Relationships>
</file>

<file path=docProps/app.xml><?xml version="1.0" encoding="utf-8"?>
<Properties xmlns="http://schemas.openxmlformats.org/officeDocument/2006/extended-properties">
  <Application>alarmi.fi</Application>
  <Company>JL Screen Oy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Palovaroittimien kunnossapitosuunnitelma – malli taloyhtiölle</dc:title>
  <dc:creator>Joel Lausamo / alarmi.fi</dc:creator>
  <dc:language>fi-FI</dc:language>
  <dc:description>Versio 1.0 · lokakuu 2026. Vapaasti käytettävissä. Ei oikeudellinen neuvo.</dc:description>
  <dcterms:created xsi:type="dcterms:W3CDTF">2026-10-12T00:00:00Z</dcterms:created>
  <dcterms:modified xsi:type="dcterms:W3CDTF">2026-10-12T00:00:00Z</dcterms:modified>
</cp:coreProperties>
</file>